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00000001" w14:textId="77777777" w:rsidR="00E66006" w:rsidRDefault="00000000">
      <w:pPr>
        <w:shd w:val="clear" w:color="auto" w:fill="FFFFFF"/>
        <w:spacing w:after="160"/>
        <w:rPr>
          <w:b/>
          <w:color w:val="181B29"/>
        </w:rPr>
      </w:pPr>
      <w:r>
        <w:rPr>
          <w:b/>
          <w:color w:val="181B29"/>
        </w:rPr>
        <w:t>The Unshakeable Foundation: The Incarnation in Eastern Christian Theology and Liturgy</w:t>
      </w:r>
    </w:p>
    <w:p w14:paraId="00000002" w14:textId="2E423CD5" w:rsidR="00E66006" w:rsidRDefault="00000000">
      <w:pPr>
        <w:shd w:val="clear" w:color="auto" w:fill="FFFFFF"/>
        <w:spacing w:after="160"/>
        <w:rPr>
          <w:color w:val="181B29"/>
        </w:rPr>
      </w:pPr>
      <w:r>
        <w:rPr>
          <w:color w:val="181B29"/>
        </w:rPr>
        <w:t xml:space="preserve">Walking into an Eastern Christian church, your senses are immediately bombarded by the icons of Jesus and the </w:t>
      </w:r>
      <w:r w:rsidR="00E23110">
        <w:rPr>
          <w:color w:val="181B29"/>
        </w:rPr>
        <w:t>Saints looking down</w:t>
      </w:r>
      <w:r>
        <w:rPr>
          <w:color w:val="181B29"/>
        </w:rPr>
        <w:t xml:space="preserve"> at you from every wall and ceiling, the clouds of incense, and the feeling </w:t>
      </w:r>
      <w:proofErr w:type="gramStart"/>
      <w:r>
        <w:rPr>
          <w:color w:val="181B29"/>
        </w:rPr>
        <w:t>the  physical</w:t>
      </w:r>
      <w:proofErr w:type="gramEnd"/>
      <w:r>
        <w:rPr>
          <w:color w:val="181B29"/>
        </w:rPr>
        <w:t xml:space="preserve"> and spiritual worlds are bound together here  in some mysterious way. This isn't accidental. These sensations all come from one of the fundamental, </w:t>
      </w:r>
      <w:r w:rsidR="00E23110">
        <w:rPr>
          <w:color w:val="181B29"/>
        </w:rPr>
        <w:t>foundational beliefs</w:t>
      </w:r>
      <w:r>
        <w:rPr>
          <w:color w:val="181B29"/>
        </w:rPr>
        <w:t xml:space="preserve"> of Eastern Christianity</w:t>
      </w:r>
      <w:r>
        <w:rPr>
          <w:color w:val="181B29"/>
          <w:vertAlign w:val="superscript"/>
        </w:rPr>
        <w:footnoteReference w:id="1"/>
      </w:r>
      <w:r>
        <w:rPr>
          <w:color w:val="181B29"/>
        </w:rPr>
        <w:t xml:space="preserve">: the Incarnation. God did not merely love humanity at a distance.  He became human, and that changed everything for us, the fallen sons and daughters of Adam and Eve. </w:t>
      </w:r>
    </w:p>
    <w:p w14:paraId="00000003" w14:textId="77777777" w:rsidR="00E66006" w:rsidRDefault="00000000">
      <w:pPr>
        <w:shd w:val="clear" w:color="auto" w:fill="FFFFFF"/>
        <w:spacing w:after="160"/>
        <w:rPr>
          <w:color w:val="181B29"/>
        </w:rPr>
      </w:pPr>
      <w:r>
        <w:rPr>
          <w:color w:val="181B29"/>
        </w:rPr>
        <w:t>It’s Not Just a Teaching</w:t>
      </w:r>
    </w:p>
    <w:p w14:paraId="00000004" w14:textId="1965BFBB" w:rsidR="00E66006" w:rsidRDefault="00000000">
      <w:pPr>
        <w:shd w:val="clear" w:color="auto" w:fill="FFFFFF"/>
        <w:spacing w:after="160"/>
        <w:rPr>
          <w:color w:val="181B29"/>
        </w:rPr>
      </w:pPr>
      <w:r>
        <w:rPr>
          <w:color w:val="181B29"/>
        </w:rPr>
        <w:t>Eastern Christians subscribe to the teachings of the Council of Chalcedon,</w:t>
      </w:r>
      <w:r>
        <w:rPr>
          <w:color w:val="181B29"/>
          <w:vertAlign w:val="superscript"/>
        </w:rPr>
        <w:footnoteReference w:id="2"/>
      </w:r>
      <w:r>
        <w:rPr>
          <w:color w:val="181B29"/>
        </w:rPr>
        <w:t xml:space="preserve"> that stated Jesus Christ is both truly God and truly human, without confusion between these two natures and without separation between them. This isn’t mere theological double-speak. It isn’t </w:t>
      </w:r>
      <w:r w:rsidR="00E23110">
        <w:rPr>
          <w:color w:val="181B29"/>
        </w:rPr>
        <w:t>just the</w:t>
      </w:r>
      <w:r>
        <w:rPr>
          <w:color w:val="181B29"/>
        </w:rPr>
        <w:t xml:space="preserve"> “hypostatic union,” as </w:t>
      </w:r>
      <w:proofErr w:type="gramStart"/>
      <w:r>
        <w:rPr>
          <w:color w:val="181B29"/>
        </w:rPr>
        <w:t>theologians  call</w:t>
      </w:r>
      <w:proofErr w:type="gramEnd"/>
      <w:r>
        <w:rPr>
          <w:color w:val="181B29"/>
        </w:rPr>
        <w:t xml:space="preserve"> it,  that matters. The Incarnation matters because it makes our salvation possible.</w:t>
      </w:r>
    </w:p>
    <w:p w14:paraId="00000005" w14:textId="681DCA2D" w:rsidR="00E66006" w:rsidRDefault="00000000">
      <w:pPr>
        <w:shd w:val="clear" w:color="auto" w:fill="FFFFFF"/>
        <w:spacing w:after="160"/>
        <w:rPr>
          <w:color w:val="181B29"/>
        </w:rPr>
      </w:pPr>
      <w:r>
        <w:rPr>
          <w:color w:val="181B29"/>
        </w:rPr>
        <w:t xml:space="preserve">Eastern theology takes a turn </w:t>
      </w:r>
      <w:r w:rsidR="00E23110">
        <w:rPr>
          <w:color w:val="181B29"/>
        </w:rPr>
        <w:t>surprising to</w:t>
      </w:r>
      <w:r>
        <w:rPr>
          <w:color w:val="181B29"/>
        </w:rPr>
        <w:t xml:space="preserve"> some Western Christians. Some of the Eastern Church Fathers</w:t>
      </w:r>
      <w:r>
        <w:rPr>
          <w:color w:val="181B29"/>
          <w:vertAlign w:val="superscript"/>
        </w:rPr>
        <w:footnoteReference w:id="3"/>
      </w:r>
      <w:r>
        <w:rPr>
          <w:color w:val="181B29"/>
        </w:rPr>
        <w:t xml:space="preserve"> held that God would have become human even if Adam and Eve had never sinned. The </w:t>
      </w:r>
      <w:r>
        <w:rPr>
          <w:color w:val="181B29"/>
        </w:rPr>
        <w:lastRenderedPageBreak/>
        <w:t xml:space="preserve">Incarnation wasn’t </w:t>
      </w:r>
      <w:r w:rsidR="00E23110">
        <w:rPr>
          <w:color w:val="181B29"/>
        </w:rPr>
        <w:t>a “</w:t>
      </w:r>
      <w:r>
        <w:rPr>
          <w:color w:val="181B29"/>
        </w:rPr>
        <w:t xml:space="preserve">fix” for </w:t>
      </w:r>
      <w:r w:rsidR="00E23110">
        <w:rPr>
          <w:color w:val="181B29"/>
        </w:rPr>
        <w:t>a broken</w:t>
      </w:r>
      <w:r>
        <w:rPr>
          <w:color w:val="181B29"/>
        </w:rPr>
        <w:t xml:space="preserve"> humanity but rather the original plan, emerging from love and God’s wish to share His life fully and permanently with humanity.</w:t>
      </w:r>
    </w:p>
    <w:p w14:paraId="00000006" w14:textId="15FF4047" w:rsidR="00E66006" w:rsidRDefault="00000000">
      <w:pPr>
        <w:shd w:val="clear" w:color="auto" w:fill="FFFFFF"/>
        <w:spacing w:after="160"/>
        <w:rPr>
          <w:color w:val="181B29"/>
        </w:rPr>
      </w:pPr>
      <w:r>
        <w:rPr>
          <w:color w:val="181B29"/>
        </w:rPr>
        <w:t xml:space="preserve">Of course, the Fall did occur, and it enormously intensified the </w:t>
      </w:r>
      <w:r w:rsidR="00E23110">
        <w:rPr>
          <w:color w:val="181B29"/>
        </w:rPr>
        <w:t>need for</w:t>
      </w:r>
      <w:r>
        <w:rPr>
          <w:color w:val="181B29"/>
        </w:rPr>
        <w:t xml:space="preserve"> the Incarnation. Man, made in the image and likeness of God, had been ruined by sin and was estranged from his Maker. Death entered the picture and was now a reality.</w:t>
      </w:r>
      <w:r>
        <w:rPr>
          <w:color w:val="181B29"/>
          <w:vertAlign w:val="superscript"/>
        </w:rPr>
        <w:footnoteReference w:id="4"/>
      </w:r>
      <w:r>
        <w:rPr>
          <w:color w:val="181B29"/>
        </w:rPr>
        <w:t xml:space="preserve"> The Incarnation was God’s extreme answer to this terrible problem.</w:t>
      </w:r>
    </w:p>
    <w:p w14:paraId="00000007" w14:textId="64A8BB42" w:rsidR="00E66006" w:rsidRDefault="00000000">
      <w:pPr>
        <w:shd w:val="clear" w:color="auto" w:fill="FFFFFF"/>
        <w:spacing w:after="160"/>
        <w:rPr>
          <w:color w:val="181B29"/>
        </w:rPr>
      </w:pPr>
      <w:r>
        <w:rPr>
          <w:color w:val="181B29"/>
        </w:rPr>
        <w:t xml:space="preserve">With his assumption of human nature, Christ made </w:t>
      </w:r>
      <w:r w:rsidR="00E23110">
        <w:rPr>
          <w:color w:val="181B29"/>
        </w:rPr>
        <w:t>humanity whole</w:t>
      </w:r>
      <w:r>
        <w:rPr>
          <w:color w:val="181B29"/>
        </w:rPr>
        <w:t>. Athanasius of Alexandria phrased this beautifully when he wrote, "God became man, so that man might become god."</w:t>
      </w:r>
      <w:r>
        <w:rPr>
          <w:color w:val="181B29"/>
          <w:vertAlign w:val="superscript"/>
        </w:rPr>
        <w:footnoteReference w:id="5"/>
      </w:r>
      <w:r>
        <w:rPr>
          <w:color w:val="181B29"/>
        </w:rPr>
        <w:t xml:space="preserve"> This is not mere hyperbole — it is the foundation of how Eastern Christians conceive of salvation.</w:t>
      </w:r>
    </w:p>
    <w:p w14:paraId="00000008" w14:textId="0A357932" w:rsidR="00E66006" w:rsidRDefault="00000000">
      <w:pPr>
        <w:shd w:val="clear" w:color="auto" w:fill="FFFFFF"/>
        <w:spacing w:after="160"/>
        <w:rPr>
          <w:color w:val="181B29"/>
        </w:rPr>
      </w:pPr>
      <w:r>
        <w:rPr>
          <w:color w:val="181B29"/>
        </w:rPr>
        <w:t xml:space="preserve">Theosis: Becoming What We Were </w:t>
      </w:r>
      <w:r w:rsidR="00E23110">
        <w:rPr>
          <w:color w:val="181B29"/>
        </w:rPr>
        <w:t xml:space="preserve">Meant </w:t>
      </w:r>
      <w:r>
        <w:rPr>
          <w:color w:val="181B29"/>
        </w:rPr>
        <w:t>to Be</w:t>
      </w:r>
    </w:p>
    <w:p w14:paraId="00000009" w14:textId="77777777" w:rsidR="00E66006" w:rsidRDefault="00000000">
      <w:pPr>
        <w:shd w:val="clear" w:color="auto" w:fill="FFFFFF"/>
        <w:spacing w:after="160"/>
        <w:rPr>
          <w:color w:val="181B29"/>
        </w:rPr>
      </w:pPr>
      <w:r>
        <w:rPr>
          <w:color w:val="181B29"/>
        </w:rPr>
        <w:t>Theosis or deification is perhaps the most unique characteristic of Eastern Christian spirituality. It’s a transforming process whereby human beings, through God’s grace and the work of the Holy Spirit, actually become “partakers of the divine nature,” as St. Peter says in his second letter.</w:t>
      </w:r>
      <w:r>
        <w:rPr>
          <w:color w:val="181B29"/>
          <w:vertAlign w:val="superscript"/>
        </w:rPr>
        <w:footnoteReference w:id="6"/>
      </w:r>
    </w:p>
    <w:p w14:paraId="0000000A" w14:textId="135244AF" w:rsidR="00E66006" w:rsidRDefault="00E23110">
      <w:pPr>
        <w:shd w:val="clear" w:color="auto" w:fill="FFFFFF"/>
        <w:spacing w:after="160"/>
        <w:rPr>
          <w:color w:val="181B29"/>
        </w:rPr>
      </w:pPr>
      <w:r>
        <w:rPr>
          <w:color w:val="181B29"/>
        </w:rPr>
        <w:t>However, we</w:t>
      </w:r>
      <w:r w:rsidR="00000000">
        <w:rPr>
          <w:color w:val="181B29"/>
        </w:rPr>
        <w:t xml:space="preserve"> are </w:t>
      </w:r>
      <w:r>
        <w:rPr>
          <w:color w:val="181B29"/>
        </w:rPr>
        <w:t>not absorbed</w:t>
      </w:r>
      <w:r w:rsidR="00000000">
        <w:rPr>
          <w:color w:val="181B29"/>
        </w:rPr>
        <w:t xml:space="preserve"> into God’s essence as if we are drops of water in </w:t>
      </w:r>
      <w:r>
        <w:rPr>
          <w:color w:val="181B29"/>
        </w:rPr>
        <w:t>the ocean</w:t>
      </w:r>
      <w:r w:rsidR="00000000">
        <w:rPr>
          <w:color w:val="181B29"/>
        </w:rPr>
        <w:t xml:space="preserve">. We join in God’s life, glory, and attributes, and yet are fully the people that we are. The Incarnation </w:t>
      </w:r>
      <w:r w:rsidR="00000000">
        <w:rPr>
          <w:color w:val="181B29"/>
        </w:rPr>
        <w:lastRenderedPageBreak/>
        <w:t>makes this doable because, in Christ, who is fully God and fully man, the infinite gulf separating the Creator from the created is bridged.</w:t>
      </w:r>
    </w:p>
    <w:p w14:paraId="0000000B" w14:textId="1DEF9A6E" w:rsidR="00E66006" w:rsidRDefault="00000000">
      <w:pPr>
        <w:shd w:val="clear" w:color="auto" w:fill="FFFFFF"/>
        <w:spacing w:after="160"/>
        <w:rPr>
          <w:color w:val="181B29"/>
        </w:rPr>
      </w:pPr>
      <w:r>
        <w:rPr>
          <w:color w:val="181B29"/>
        </w:rPr>
        <w:t xml:space="preserve">When Christ was transfigured on Mount Tabor and His divine glory was seen through His human person, it was not merely a </w:t>
      </w:r>
      <w:r w:rsidR="00E23110">
        <w:rPr>
          <w:color w:val="181B29"/>
        </w:rPr>
        <w:t>spectacular one</w:t>
      </w:r>
      <w:r>
        <w:rPr>
          <w:color w:val="181B29"/>
        </w:rPr>
        <w:t>-time miracle. For those witnessing it, the Transfiguration was a foretaste of what can be, and one day will be, for all humanity, our ultimate destiny.</w:t>
      </w:r>
      <w:r>
        <w:rPr>
          <w:color w:val="181B29"/>
          <w:vertAlign w:val="superscript"/>
        </w:rPr>
        <w:footnoteReference w:id="7"/>
      </w:r>
    </w:p>
    <w:p w14:paraId="0000000C" w14:textId="77777777" w:rsidR="00E66006" w:rsidRDefault="00000000">
      <w:pPr>
        <w:shd w:val="clear" w:color="auto" w:fill="FFFFFF"/>
        <w:spacing w:after="160"/>
        <w:rPr>
          <w:color w:val="181B29"/>
        </w:rPr>
      </w:pPr>
      <w:r>
        <w:rPr>
          <w:color w:val="181B29"/>
        </w:rPr>
        <w:t>Where Theology Meets Worship</w:t>
      </w:r>
    </w:p>
    <w:p w14:paraId="0000000D" w14:textId="633D809E" w:rsidR="00E66006" w:rsidRDefault="00000000">
      <w:pPr>
        <w:shd w:val="clear" w:color="auto" w:fill="FFFFFF"/>
        <w:spacing w:after="160"/>
        <w:rPr>
          <w:color w:val="181B29"/>
        </w:rPr>
      </w:pPr>
      <w:r>
        <w:rPr>
          <w:color w:val="181B29"/>
        </w:rPr>
        <w:t xml:space="preserve">Such a deep understanding of the Incarnation isn’t confined to densely written theological tomes. It is </w:t>
      </w:r>
      <w:r w:rsidR="00E23110">
        <w:rPr>
          <w:color w:val="181B29"/>
        </w:rPr>
        <w:t>the undercurrent</w:t>
      </w:r>
      <w:r>
        <w:rPr>
          <w:color w:val="181B29"/>
        </w:rPr>
        <w:t xml:space="preserve"> of </w:t>
      </w:r>
      <w:r w:rsidR="00E23110">
        <w:rPr>
          <w:color w:val="181B29"/>
        </w:rPr>
        <w:t>all Eastern</w:t>
      </w:r>
      <w:r>
        <w:rPr>
          <w:color w:val="181B29"/>
        </w:rPr>
        <w:t xml:space="preserve"> Christian worship, </w:t>
      </w:r>
      <w:r w:rsidR="00E23110">
        <w:rPr>
          <w:color w:val="181B29"/>
        </w:rPr>
        <w:t>enlivening worship</w:t>
      </w:r>
      <w:r>
        <w:rPr>
          <w:color w:val="181B29"/>
        </w:rPr>
        <w:t xml:space="preserve"> services </w:t>
      </w:r>
      <w:proofErr w:type="gramStart"/>
      <w:r>
        <w:rPr>
          <w:color w:val="181B29"/>
        </w:rPr>
        <w:t>as  vibrant</w:t>
      </w:r>
      <w:proofErr w:type="gramEnd"/>
      <w:r>
        <w:rPr>
          <w:color w:val="181B29"/>
        </w:rPr>
        <w:t xml:space="preserve"> celebrations of God’s Incarnation.</w:t>
      </w:r>
    </w:p>
    <w:p w14:paraId="0000000E" w14:textId="695B5F22" w:rsidR="00E66006" w:rsidRDefault="00000000">
      <w:pPr>
        <w:shd w:val="clear" w:color="auto" w:fill="FFFFFF"/>
        <w:spacing w:after="160"/>
        <w:rPr>
          <w:color w:val="181B29"/>
        </w:rPr>
      </w:pPr>
      <w:r>
        <w:rPr>
          <w:color w:val="181B29"/>
        </w:rPr>
        <w:t>At the heart of the Divine Liturgy</w:t>
      </w:r>
      <w:r>
        <w:rPr>
          <w:color w:val="181B29"/>
          <w:vertAlign w:val="superscript"/>
        </w:rPr>
        <w:footnoteReference w:id="8"/>
      </w:r>
      <w:r>
        <w:rPr>
          <w:color w:val="181B29"/>
        </w:rPr>
        <w:t xml:space="preserve"> is the Eucharist, </w:t>
      </w:r>
      <w:r w:rsidR="00E23110">
        <w:rPr>
          <w:color w:val="181B29"/>
        </w:rPr>
        <w:t>where bread</w:t>
      </w:r>
      <w:r>
        <w:rPr>
          <w:color w:val="181B29"/>
        </w:rPr>
        <w:t xml:space="preserve"> and wine—normal elements of the material world—are transformed into the true Body and Blood of Christ through the power of the Holy Spirit. When Eastern Christians take communion, it’s not just a symbol of Christ’s sacrifice that is ingested. They </w:t>
      </w:r>
      <w:r w:rsidR="00E23110">
        <w:rPr>
          <w:color w:val="181B29"/>
        </w:rPr>
        <w:t>are literally</w:t>
      </w:r>
      <w:r>
        <w:rPr>
          <w:color w:val="181B29"/>
        </w:rPr>
        <w:t xml:space="preserve"> </w:t>
      </w:r>
      <w:r w:rsidR="00E23110">
        <w:rPr>
          <w:color w:val="181B29"/>
        </w:rPr>
        <w:t>consuming the</w:t>
      </w:r>
      <w:r>
        <w:rPr>
          <w:color w:val="181B29"/>
        </w:rPr>
        <w:t xml:space="preserve"> deified humanity of the God-man.</w:t>
      </w:r>
    </w:p>
    <w:p w14:paraId="0000000F" w14:textId="0AEC0D71" w:rsidR="00E66006" w:rsidRDefault="00000000">
      <w:pPr>
        <w:shd w:val="clear" w:color="auto" w:fill="FFFFFF"/>
        <w:spacing w:after="160"/>
        <w:rPr>
          <w:color w:val="181B29"/>
        </w:rPr>
      </w:pPr>
      <w:r>
        <w:rPr>
          <w:color w:val="181B29"/>
        </w:rPr>
        <w:t xml:space="preserve">This incarnational reality is accentuated at every point in Eastern worship, including the other sacraments. </w:t>
      </w:r>
      <w:r w:rsidR="00E23110">
        <w:rPr>
          <w:color w:val="181B29"/>
        </w:rPr>
        <w:t>The water</w:t>
      </w:r>
      <w:r>
        <w:rPr>
          <w:color w:val="181B29"/>
        </w:rPr>
        <w:t xml:space="preserve"> for baptism, oil for chrismation, the incense that fills the air, the </w:t>
      </w:r>
      <w:proofErr w:type="gramStart"/>
      <w:r>
        <w:rPr>
          <w:color w:val="181B29"/>
        </w:rPr>
        <w:t>light  of</w:t>
      </w:r>
      <w:proofErr w:type="gramEnd"/>
      <w:r>
        <w:rPr>
          <w:color w:val="181B29"/>
        </w:rPr>
        <w:t xml:space="preserve"> the candles—all these material things serve as instruments  of grace because God Himself became incarnate and sanctified matter.</w:t>
      </w:r>
    </w:p>
    <w:p w14:paraId="00000010" w14:textId="77777777" w:rsidR="00E66006" w:rsidRDefault="00000000">
      <w:pPr>
        <w:shd w:val="clear" w:color="auto" w:fill="FFFFFF"/>
        <w:spacing w:after="160"/>
        <w:rPr>
          <w:color w:val="181B29"/>
        </w:rPr>
      </w:pPr>
      <w:r>
        <w:rPr>
          <w:color w:val="181B29"/>
        </w:rPr>
        <w:lastRenderedPageBreak/>
        <w:t>Icons: Windows to Heaven</w:t>
      </w:r>
    </w:p>
    <w:p w14:paraId="00000011" w14:textId="096FD7F5" w:rsidR="00E66006" w:rsidRDefault="00000000">
      <w:pPr>
        <w:shd w:val="clear" w:color="auto" w:fill="FFFFFF"/>
        <w:spacing w:after="160"/>
        <w:rPr>
          <w:color w:val="181B29"/>
        </w:rPr>
      </w:pPr>
      <w:r>
        <w:rPr>
          <w:color w:val="181B29"/>
        </w:rPr>
        <w:t xml:space="preserve">Nowhere </w:t>
      </w:r>
      <w:r w:rsidR="00E23110">
        <w:rPr>
          <w:color w:val="181B29"/>
        </w:rPr>
        <w:t>is incarnational</w:t>
      </w:r>
      <w:r>
        <w:rPr>
          <w:color w:val="181B29"/>
        </w:rPr>
        <w:t xml:space="preserve"> theology more strikingly apparent than in the veneration of images. A prominent feature of an Eastern Christian Church is an icon screen </w:t>
      </w:r>
      <w:r w:rsidR="00E23110">
        <w:rPr>
          <w:color w:val="181B29"/>
        </w:rPr>
        <w:t>separating the</w:t>
      </w:r>
      <w:r>
        <w:rPr>
          <w:color w:val="181B29"/>
        </w:rPr>
        <w:t xml:space="preserve"> holy space from the profane. An icon of the Annunciation is displayed </w:t>
      </w:r>
      <w:r w:rsidR="00E23110">
        <w:rPr>
          <w:color w:val="181B29"/>
        </w:rPr>
        <w:t>on the</w:t>
      </w:r>
      <w:r>
        <w:rPr>
          <w:color w:val="181B29"/>
        </w:rPr>
        <w:t xml:space="preserve"> center </w:t>
      </w:r>
      <w:proofErr w:type="gramStart"/>
      <w:r>
        <w:rPr>
          <w:color w:val="181B29"/>
        </w:rPr>
        <w:t>doors  of</w:t>
      </w:r>
      <w:proofErr w:type="gramEnd"/>
      <w:r>
        <w:rPr>
          <w:color w:val="181B29"/>
        </w:rPr>
        <w:t xml:space="preserve"> the icon screen.</w:t>
      </w:r>
      <w:r>
        <w:rPr>
          <w:color w:val="181B29"/>
          <w:vertAlign w:val="superscript"/>
        </w:rPr>
        <w:footnoteReference w:id="9"/>
      </w:r>
      <w:r>
        <w:rPr>
          <w:color w:val="181B29"/>
        </w:rPr>
        <w:t xml:space="preserve"> This reminds Eastern Christians that our salvation began when a simple peasant woman agreed to God’s plan, setting the stage  for the Incarnation. These center doors will be opened by the deacon at the beginning of the Divine </w:t>
      </w:r>
      <w:r w:rsidR="00E23110">
        <w:rPr>
          <w:color w:val="181B29"/>
        </w:rPr>
        <w:t>Liturgy, symbolically</w:t>
      </w:r>
      <w:r>
        <w:rPr>
          <w:color w:val="181B29"/>
        </w:rPr>
        <w:t xml:space="preserve"> portraying that salvation is open to all. </w:t>
      </w:r>
    </w:p>
    <w:p w14:paraId="00000012" w14:textId="77777777" w:rsidR="00E66006" w:rsidRDefault="00000000">
      <w:pPr>
        <w:shd w:val="clear" w:color="auto" w:fill="FFFFFF"/>
        <w:spacing w:after="160"/>
        <w:rPr>
          <w:color w:val="181B29"/>
        </w:rPr>
      </w:pPr>
      <w:r>
        <w:rPr>
          <w:color w:val="181B29"/>
        </w:rPr>
        <w:t xml:space="preserve"> The great Iconoclastic Controversy of the 8th and 9th centuries wasn’t primarily about art — it was about the Incarnation itself. Those who defended icons had little problem arguing for their place in worship: if God became human and assumed visible form, He can be portrayed. Declaring that making images was impossible was to deny the reality of Incarnation.</w:t>
      </w:r>
      <w:r>
        <w:rPr>
          <w:color w:val="181B29"/>
          <w:vertAlign w:val="superscript"/>
        </w:rPr>
        <w:footnoteReference w:id="10"/>
      </w:r>
    </w:p>
    <w:p w14:paraId="00000013" w14:textId="443AFE45" w:rsidR="00E66006" w:rsidRDefault="00000000">
      <w:pPr>
        <w:shd w:val="clear" w:color="auto" w:fill="FFFFFF"/>
        <w:spacing w:after="160"/>
        <w:rPr>
          <w:color w:val="181B29"/>
        </w:rPr>
      </w:pPr>
      <w:r>
        <w:rPr>
          <w:color w:val="181B29"/>
        </w:rPr>
        <w:t xml:space="preserve">Icons are more than religious art; they are “windows to heaven,” physical points of contact with the </w:t>
      </w:r>
      <w:r w:rsidR="00E23110">
        <w:rPr>
          <w:color w:val="181B29"/>
        </w:rPr>
        <w:t xml:space="preserve">divine, </w:t>
      </w:r>
      <w:proofErr w:type="gramStart"/>
      <w:r w:rsidR="00E23110">
        <w:rPr>
          <w:color w:val="181B29"/>
        </w:rPr>
        <w:t>showing</w:t>
      </w:r>
      <w:r>
        <w:rPr>
          <w:color w:val="181B29"/>
        </w:rPr>
        <w:t xml:space="preserve">  how</w:t>
      </w:r>
      <w:proofErr w:type="gramEnd"/>
      <w:r>
        <w:rPr>
          <w:color w:val="181B29"/>
        </w:rPr>
        <w:t xml:space="preserve"> humanity is changed by grace</w:t>
      </w:r>
      <w:r>
        <w:rPr>
          <w:color w:val="181B29"/>
          <w:vertAlign w:val="superscript"/>
        </w:rPr>
        <w:footnoteReference w:id="11"/>
      </w:r>
      <w:r>
        <w:rPr>
          <w:color w:val="181B29"/>
        </w:rPr>
        <w:t xml:space="preserve">. When you look at an icon of a saint, you're looking at someone whose humanity has become so suffused by God's </w:t>
      </w:r>
      <w:r w:rsidR="00E23110">
        <w:rPr>
          <w:color w:val="181B29"/>
        </w:rPr>
        <w:t>presence they</w:t>
      </w:r>
      <w:r>
        <w:rPr>
          <w:color w:val="181B29"/>
        </w:rPr>
        <w:t xml:space="preserve"> </w:t>
      </w:r>
      <w:proofErr w:type="gramStart"/>
      <w:r>
        <w:rPr>
          <w:color w:val="181B29"/>
        </w:rPr>
        <w:t>actually radiate</w:t>
      </w:r>
      <w:proofErr w:type="gramEnd"/>
      <w:r>
        <w:rPr>
          <w:color w:val="181B29"/>
        </w:rPr>
        <w:t xml:space="preserve"> with His light and appear in their resurrected bodies. That is theosis incarnate.</w:t>
      </w:r>
    </w:p>
    <w:p w14:paraId="00000014" w14:textId="77777777" w:rsidR="00E66006" w:rsidRDefault="00000000">
      <w:pPr>
        <w:shd w:val="clear" w:color="auto" w:fill="FFFFFF"/>
        <w:spacing w:after="160"/>
        <w:rPr>
          <w:color w:val="181B29"/>
        </w:rPr>
      </w:pPr>
      <w:r>
        <w:rPr>
          <w:color w:val="181B29"/>
        </w:rPr>
        <w:t>A Year-Round Celebration</w:t>
      </w:r>
    </w:p>
    <w:p w14:paraId="00000015" w14:textId="52CEA2EA" w:rsidR="00E66006" w:rsidRDefault="00000000">
      <w:pPr>
        <w:shd w:val="clear" w:color="auto" w:fill="FFFFFF"/>
        <w:spacing w:after="160"/>
        <w:rPr>
          <w:color w:val="181B29"/>
        </w:rPr>
      </w:pPr>
      <w:r>
        <w:rPr>
          <w:color w:val="181B29"/>
        </w:rPr>
        <w:lastRenderedPageBreak/>
        <w:t xml:space="preserve">In the East, the liturgical calendar </w:t>
      </w:r>
      <w:r w:rsidR="00E23110">
        <w:rPr>
          <w:color w:val="181B29"/>
        </w:rPr>
        <w:t>continuously returns</w:t>
      </w:r>
      <w:r>
        <w:rPr>
          <w:color w:val="181B29"/>
        </w:rPr>
        <w:t xml:space="preserve"> to the theme of the Incarnation and its consequences. As we have just been reminded, the Feast of the Annunciation is the moment which marks the beginning of our salvation. This is the </w:t>
      </w:r>
      <w:r w:rsidR="00E23110">
        <w:rPr>
          <w:color w:val="181B29"/>
        </w:rPr>
        <w:t>moment Mary</w:t>
      </w:r>
      <w:r>
        <w:rPr>
          <w:color w:val="181B29"/>
        </w:rPr>
        <w:t xml:space="preserve"> says “yes” and God assumes human flesh. Christmas not only </w:t>
      </w:r>
      <w:r w:rsidR="00E23110">
        <w:rPr>
          <w:color w:val="181B29"/>
        </w:rPr>
        <w:t>commemorates a</w:t>
      </w:r>
      <w:r>
        <w:rPr>
          <w:color w:val="181B29"/>
        </w:rPr>
        <w:t xml:space="preserve"> birth, but the marvelous humility of the Creator entering the </w:t>
      </w:r>
      <w:r w:rsidR="00E23110">
        <w:rPr>
          <w:color w:val="181B29"/>
        </w:rPr>
        <w:t>world as</w:t>
      </w:r>
      <w:r>
        <w:rPr>
          <w:color w:val="181B29"/>
        </w:rPr>
        <w:t xml:space="preserve"> a helpless baby</w:t>
      </w:r>
      <w:r w:rsidR="00E23110">
        <w:rPr>
          <w:color w:val="181B29"/>
        </w:rPr>
        <w:t>.</w:t>
      </w:r>
      <w:r>
        <w:rPr>
          <w:color w:val="181B29"/>
        </w:rPr>
        <w:t xml:space="preserve"> The Holy </w:t>
      </w:r>
      <w:r w:rsidR="00E23110">
        <w:rPr>
          <w:color w:val="181B29"/>
        </w:rPr>
        <w:t>Trinity and</w:t>
      </w:r>
      <w:r>
        <w:rPr>
          <w:color w:val="181B29"/>
        </w:rPr>
        <w:t xml:space="preserve"> Christ’s Sanctification of All Creation is celebrated on The Theophany. </w:t>
      </w:r>
      <w:r>
        <w:rPr>
          <w:color w:val="181B29"/>
          <w:vertAlign w:val="superscript"/>
        </w:rPr>
        <w:footnoteReference w:id="12"/>
      </w:r>
    </w:p>
    <w:p w14:paraId="00000016" w14:textId="77777777" w:rsidR="00E66006" w:rsidRDefault="00000000">
      <w:pPr>
        <w:shd w:val="clear" w:color="auto" w:fill="FFFFFF"/>
        <w:spacing w:after="160"/>
        <w:rPr>
          <w:color w:val="181B29"/>
        </w:rPr>
      </w:pPr>
      <w:r>
        <w:rPr>
          <w:color w:val="181B29"/>
        </w:rPr>
        <w:t>Even the saints can serve as aspects of this incarnational model. They’re not simply moral heroes for us to admire from a distance. The saints are alive–they are living proof theosis is real, that human beings can be transformed into hosts for divine grace while genuinely remaining human.</w:t>
      </w:r>
    </w:p>
    <w:p w14:paraId="00000017" w14:textId="77777777" w:rsidR="00E66006" w:rsidRDefault="00000000">
      <w:pPr>
        <w:shd w:val="clear" w:color="auto" w:fill="FFFFFF"/>
        <w:spacing w:after="160"/>
        <w:rPr>
          <w:color w:val="181B29"/>
        </w:rPr>
      </w:pPr>
      <w:r>
        <w:rPr>
          <w:color w:val="181B29"/>
        </w:rPr>
        <w:t>The Beating Heart of Faith</w:t>
      </w:r>
    </w:p>
    <w:p w14:paraId="00000018" w14:textId="77777777" w:rsidR="00E66006" w:rsidRDefault="00000000">
      <w:pPr>
        <w:shd w:val="clear" w:color="auto" w:fill="FFFFFF"/>
        <w:spacing w:after="160"/>
        <w:rPr>
          <w:color w:val="181B29"/>
        </w:rPr>
      </w:pPr>
      <w:r>
        <w:rPr>
          <w:color w:val="181B29"/>
        </w:rPr>
        <w:t>In the end, the Incarnation isn’t simply one doctrine among others in Eastern Christianity — it’s the doctrine that animates everything else. It’s solid evidence that God loves us and His creation. In sharing our humanity, God didn’t simply make a cameo appearance in our world; He permanently attached Himself to it.</w:t>
      </w:r>
    </w:p>
    <w:p w14:paraId="00000019" w14:textId="0B9B02CE" w:rsidR="00E66006" w:rsidRDefault="00000000">
      <w:pPr>
        <w:shd w:val="clear" w:color="auto" w:fill="FFFFFF"/>
        <w:spacing w:after="160"/>
        <w:rPr>
          <w:color w:val="181B29"/>
        </w:rPr>
      </w:pPr>
      <w:r>
        <w:rPr>
          <w:color w:val="181B29"/>
        </w:rPr>
        <w:t>The Incarnation offers profound hope. If the Word became flesh and dwelt among us</w:t>
      </w:r>
      <w:r>
        <w:rPr>
          <w:color w:val="181B29"/>
          <w:vertAlign w:val="superscript"/>
        </w:rPr>
        <w:footnoteReference w:id="13"/>
      </w:r>
      <w:r>
        <w:rPr>
          <w:color w:val="181B29"/>
        </w:rPr>
        <w:t xml:space="preserve">; if Christ's human body was transfigured with divine glory; if the saints became icons of God's grace—then every human can participate in divinity. The gulf between heaven and earth is not </w:t>
      </w:r>
      <w:r>
        <w:rPr>
          <w:color w:val="181B29"/>
        </w:rPr>
        <w:lastRenderedPageBreak/>
        <w:t xml:space="preserve">only </w:t>
      </w:r>
      <w:r w:rsidR="00E23110">
        <w:rPr>
          <w:color w:val="181B29"/>
        </w:rPr>
        <w:t>bridged but</w:t>
      </w:r>
      <w:r>
        <w:rPr>
          <w:color w:val="181B29"/>
        </w:rPr>
        <w:t xml:space="preserve"> closed forever by the very </w:t>
      </w:r>
      <w:proofErr w:type="gramStart"/>
      <w:r>
        <w:rPr>
          <w:color w:val="181B29"/>
        </w:rPr>
        <w:t>God-man</w:t>
      </w:r>
      <w:proofErr w:type="gramEnd"/>
      <w:r>
        <w:rPr>
          <w:color w:val="181B29"/>
        </w:rPr>
        <w:t xml:space="preserve"> who straddles both worlds, Humanity has the opportunity to become all that God wanted us to be.</w:t>
      </w:r>
    </w:p>
    <w:p w14:paraId="0000001A" w14:textId="77777777" w:rsidR="00E66006" w:rsidRDefault="00E66006">
      <w:pPr>
        <w:shd w:val="clear" w:color="auto" w:fill="FFFFFF"/>
        <w:spacing w:after="160"/>
        <w:rPr>
          <w:color w:val="181B29"/>
        </w:rPr>
      </w:pPr>
    </w:p>
    <w:p w14:paraId="0000001B" w14:textId="77777777" w:rsidR="00E66006" w:rsidRDefault="00000000">
      <w:pPr>
        <w:shd w:val="clear" w:color="auto" w:fill="FFFFFF"/>
        <w:spacing w:after="160"/>
        <w:rPr>
          <w:color w:val="181B29"/>
        </w:rPr>
      </w:pPr>
      <w:r>
        <w:rPr>
          <w:color w:val="181B29"/>
        </w:rPr>
        <w:t xml:space="preserve">Mark Koscinski is an associate professor of accounting practice at Moravian University.  He is a certified public accountant and holds a doctorate in Eastern Christian spirituality from Drew University in Madison, NJ. Dr. Koscinski has served as a Catholic deacon for almost twenty years and is a D.Min. candidate at Lancaster Theological Seminary. </w:t>
      </w:r>
    </w:p>
    <w:p w14:paraId="0000001C" w14:textId="77777777" w:rsidR="00E66006" w:rsidRDefault="00E66006">
      <w:pPr>
        <w:rPr>
          <w:color w:val="181B29"/>
        </w:rPr>
      </w:pPr>
    </w:p>
    <w:sectPr w:rsidR="00E66006">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0457B2" w14:textId="77777777" w:rsidR="00332943" w:rsidRDefault="00332943">
      <w:pPr>
        <w:spacing w:line="240" w:lineRule="auto"/>
      </w:pPr>
      <w:r>
        <w:separator/>
      </w:r>
    </w:p>
  </w:endnote>
  <w:endnote w:type="continuationSeparator" w:id="0">
    <w:p w14:paraId="6D02A101" w14:textId="77777777" w:rsidR="00332943" w:rsidRDefault="0033294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BBA778" w14:textId="77777777" w:rsidR="00E23110" w:rsidRDefault="00E2311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458E61" w14:textId="77777777" w:rsidR="00E23110" w:rsidRDefault="00E2311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9D0EED" w14:textId="77777777" w:rsidR="00E23110" w:rsidRDefault="00E231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7E349A" w14:textId="77777777" w:rsidR="00332943" w:rsidRDefault="00332943">
      <w:pPr>
        <w:spacing w:line="240" w:lineRule="auto"/>
      </w:pPr>
      <w:r>
        <w:separator/>
      </w:r>
    </w:p>
  </w:footnote>
  <w:footnote w:type="continuationSeparator" w:id="0">
    <w:p w14:paraId="6AD5B53A" w14:textId="77777777" w:rsidR="00332943" w:rsidRDefault="00332943">
      <w:pPr>
        <w:spacing w:line="240" w:lineRule="auto"/>
      </w:pPr>
      <w:r>
        <w:continuationSeparator/>
      </w:r>
    </w:p>
  </w:footnote>
  <w:footnote w:id="1">
    <w:p w14:paraId="0000001D" w14:textId="77777777" w:rsidR="00E66006" w:rsidRDefault="00000000">
      <w:pPr>
        <w:spacing w:line="240" w:lineRule="auto"/>
      </w:pPr>
      <w:r>
        <w:rPr>
          <w:vertAlign w:val="superscript"/>
        </w:rPr>
        <w:footnoteRef/>
      </w:r>
      <w:r>
        <w:rPr>
          <w:sz w:val="20"/>
          <w:szCs w:val="20"/>
        </w:rPr>
        <w:t xml:space="preserve"> </w:t>
      </w:r>
      <w:r>
        <w:t xml:space="preserve">The discussion of Eastern Christianity will be confined to the Greek, or Byzantine tradition, in this paper. </w:t>
      </w:r>
    </w:p>
    <w:p w14:paraId="0000001E" w14:textId="77777777" w:rsidR="00E66006" w:rsidRDefault="00E66006">
      <w:pPr>
        <w:spacing w:line="240" w:lineRule="auto"/>
      </w:pPr>
    </w:p>
  </w:footnote>
  <w:footnote w:id="2">
    <w:p w14:paraId="00000027" w14:textId="77777777" w:rsidR="00E66006" w:rsidRDefault="00000000">
      <w:pPr>
        <w:spacing w:line="240" w:lineRule="auto"/>
      </w:pPr>
      <w:r>
        <w:rPr>
          <w:vertAlign w:val="superscript"/>
        </w:rPr>
        <w:footnoteRef/>
      </w:r>
      <w:r>
        <w:rPr>
          <w:sz w:val="20"/>
          <w:szCs w:val="20"/>
        </w:rPr>
        <w:t xml:space="preserve"> </w:t>
      </w:r>
      <w:r>
        <w:t xml:space="preserve">This was the Fourth Ecumenical Council, held in 451 AD.  Eastern Christianity holds there were seven ecumenical councils.  The seventh, held in Nicaea, proclaimed the theology of icons. All of these councils were convoked to discuss various issues concerning the Trinity, Christology, and Mariology. </w:t>
      </w:r>
    </w:p>
    <w:p w14:paraId="00000028" w14:textId="77777777" w:rsidR="00E66006" w:rsidRDefault="00E66006">
      <w:pPr>
        <w:spacing w:line="240" w:lineRule="auto"/>
      </w:pPr>
    </w:p>
  </w:footnote>
  <w:footnote w:id="3">
    <w:p w14:paraId="0000001F" w14:textId="15DCFA1C" w:rsidR="00E66006" w:rsidRDefault="00000000">
      <w:pPr>
        <w:spacing w:line="240" w:lineRule="auto"/>
      </w:pPr>
      <w:r>
        <w:rPr>
          <w:vertAlign w:val="superscript"/>
        </w:rPr>
        <w:footnoteRef/>
      </w:r>
      <w:r>
        <w:rPr>
          <w:sz w:val="20"/>
          <w:szCs w:val="20"/>
        </w:rPr>
        <w:t xml:space="preserve"> </w:t>
      </w:r>
      <w:r>
        <w:t xml:space="preserve">Maximus the </w:t>
      </w:r>
      <w:r w:rsidR="00E23110">
        <w:t>Confessor (</w:t>
      </w:r>
      <w:r>
        <w:t xml:space="preserve">580-662 AD) and Isaac the Syrian (613-700 </w:t>
      </w:r>
      <w:proofErr w:type="gramStart"/>
      <w:r>
        <w:t>AD)  are</w:t>
      </w:r>
      <w:proofErr w:type="gramEnd"/>
      <w:r>
        <w:t xml:space="preserve"> two examples of Eastern Church Fathers who held this view.  </w:t>
      </w:r>
    </w:p>
  </w:footnote>
  <w:footnote w:id="4">
    <w:p w14:paraId="00000029" w14:textId="77777777" w:rsidR="00E66006" w:rsidRDefault="00000000">
      <w:pPr>
        <w:spacing w:line="240" w:lineRule="auto"/>
      </w:pPr>
      <w:r>
        <w:rPr>
          <w:vertAlign w:val="superscript"/>
        </w:rPr>
        <w:footnoteRef/>
      </w:r>
      <w:r>
        <w:rPr>
          <w:sz w:val="20"/>
          <w:szCs w:val="20"/>
        </w:rPr>
        <w:t xml:space="preserve"> </w:t>
      </w:r>
      <w:r>
        <w:t xml:space="preserve">The Eastern view of original sin is that humanity inherited the consequences, but not the guilt for the actions of Adam and Eve. </w:t>
      </w:r>
    </w:p>
    <w:p w14:paraId="0000002A" w14:textId="77777777" w:rsidR="00E66006" w:rsidRDefault="00E66006">
      <w:pPr>
        <w:spacing w:line="240" w:lineRule="auto"/>
      </w:pPr>
    </w:p>
  </w:footnote>
  <w:footnote w:id="5">
    <w:p w14:paraId="00000025" w14:textId="77777777" w:rsidR="00E66006" w:rsidRDefault="00000000">
      <w:pPr>
        <w:spacing w:line="240" w:lineRule="auto"/>
        <w:rPr>
          <w:i/>
        </w:rPr>
      </w:pPr>
      <w:r>
        <w:rPr>
          <w:vertAlign w:val="superscript"/>
        </w:rPr>
        <w:footnoteRef/>
      </w:r>
      <w:r>
        <w:rPr>
          <w:sz w:val="20"/>
          <w:szCs w:val="20"/>
        </w:rPr>
        <w:t xml:space="preserve"> </w:t>
      </w:r>
      <w:r>
        <w:rPr>
          <w:i/>
        </w:rPr>
        <w:t>On the Incarnation</w:t>
      </w:r>
    </w:p>
    <w:p w14:paraId="00000026" w14:textId="77777777" w:rsidR="00E66006" w:rsidRDefault="00E66006">
      <w:pPr>
        <w:spacing w:line="240" w:lineRule="auto"/>
        <w:rPr>
          <w:i/>
        </w:rPr>
      </w:pPr>
    </w:p>
  </w:footnote>
  <w:footnote w:id="6">
    <w:p w14:paraId="00000030" w14:textId="77777777" w:rsidR="00E66006" w:rsidRDefault="00000000">
      <w:pPr>
        <w:spacing w:line="240" w:lineRule="auto"/>
      </w:pPr>
      <w:r>
        <w:rPr>
          <w:vertAlign w:val="superscript"/>
        </w:rPr>
        <w:footnoteRef/>
      </w:r>
      <w:r>
        <w:rPr>
          <w:sz w:val="20"/>
          <w:szCs w:val="20"/>
        </w:rPr>
        <w:t xml:space="preserve"> </w:t>
      </w:r>
      <w:r>
        <w:t>2 Peter 1:3-4</w:t>
      </w:r>
    </w:p>
  </w:footnote>
  <w:footnote w:id="7">
    <w:p w14:paraId="0000002B" w14:textId="7946F0AF" w:rsidR="00E66006" w:rsidRDefault="00000000">
      <w:pPr>
        <w:spacing w:line="240" w:lineRule="auto"/>
      </w:pPr>
      <w:r>
        <w:rPr>
          <w:vertAlign w:val="superscript"/>
        </w:rPr>
        <w:footnoteRef/>
      </w:r>
      <w:r>
        <w:rPr>
          <w:sz w:val="20"/>
          <w:szCs w:val="20"/>
        </w:rPr>
        <w:t xml:space="preserve"> T</w:t>
      </w:r>
      <w:r>
        <w:t xml:space="preserve">he Transfiguration </w:t>
      </w:r>
      <w:r w:rsidR="00E23110">
        <w:t>is another</w:t>
      </w:r>
      <w:r>
        <w:t xml:space="preserve"> theophany. The bright light </w:t>
      </w:r>
      <w:r w:rsidR="00E23110">
        <w:t>was</w:t>
      </w:r>
      <w:r>
        <w:t xml:space="preserve"> the divine, uncreated light, a direct manifestation of God’s glory emanating from Jesus. </w:t>
      </w:r>
    </w:p>
    <w:p w14:paraId="0000002C" w14:textId="77777777" w:rsidR="00E66006" w:rsidRDefault="00E66006">
      <w:pPr>
        <w:spacing w:line="240" w:lineRule="auto"/>
      </w:pPr>
    </w:p>
  </w:footnote>
  <w:footnote w:id="8">
    <w:p w14:paraId="00000031" w14:textId="7471F5A3" w:rsidR="00E66006" w:rsidRDefault="00000000">
      <w:pPr>
        <w:spacing w:line="240" w:lineRule="auto"/>
        <w:rPr>
          <w:sz w:val="20"/>
          <w:szCs w:val="20"/>
        </w:rPr>
      </w:pPr>
      <w:r>
        <w:rPr>
          <w:vertAlign w:val="superscript"/>
        </w:rPr>
        <w:footnoteRef/>
      </w:r>
      <w:r>
        <w:rPr>
          <w:sz w:val="20"/>
          <w:szCs w:val="20"/>
        </w:rPr>
        <w:t xml:space="preserve"> </w:t>
      </w:r>
      <w:r>
        <w:t xml:space="preserve">The main Sunday </w:t>
      </w:r>
      <w:r w:rsidR="00E23110">
        <w:t>service in</w:t>
      </w:r>
      <w:r>
        <w:t xml:space="preserve"> Eastern Christianity.</w:t>
      </w:r>
      <w:r>
        <w:rPr>
          <w:sz w:val="20"/>
          <w:szCs w:val="20"/>
        </w:rPr>
        <w:t xml:space="preserve"> </w:t>
      </w:r>
    </w:p>
  </w:footnote>
  <w:footnote w:id="9">
    <w:p w14:paraId="00000020" w14:textId="77777777" w:rsidR="00E66006" w:rsidRDefault="00000000">
      <w:pPr>
        <w:spacing w:line="240" w:lineRule="auto"/>
      </w:pPr>
      <w:r>
        <w:rPr>
          <w:vertAlign w:val="superscript"/>
        </w:rPr>
        <w:footnoteRef/>
      </w:r>
      <w:r>
        <w:rPr>
          <w:sz w:val="20"/>
          <w:szCs w:val="20"/>
        </w:rPr>
        <w:t xml:space="preserve"> </w:t>
      </w:r>
      <w:r>
        <w:t xml:space="preserve">The center doors are also known at the Royal Doors. Two other doors through the icon screen are referred to as the deacon doors. </w:t>
      </w:r>
    </w:p>
    <w:p w14:paraId="00000021" w14:textId="77777777" w:rsidR="00E66006" w:rsidRDefault="00E66006">
      <w:pPr>
        <w:spacing w:line="240" w:lineRule="auto"/>
      </w:pPr>
    </w:p>
  </w:footnote>
  <w:footnote w:id="10">
    <w:p w14:paraId="0000002D" w14:textId="071A625E" w:rsidR="00E66006" w:rsidRDefault="00000000">
      <w:pPr>
        <w:spacing w:line="240" w:lineRule="auto"/>
        <w:rPr>
          <w:i/>
        </w:rPr>
      </w:pPr>
      <w:r>
        <w:rPr>
          <w:vertAlign w:val="superscript"/>
        </w:rPr>
        <w:footnoteRef/>
      </w:r>
      <w:r>
        <w:rPr>
          <w:sz w:val="20"/>
          <w:szCs w:val="20"/>
        </w:rPr>
        <w:t xml:space="preserve"> T</w:t>
      </w:r>
      <w:r>
        <w:t xml:space="preserve">he foremost defender of icons was John of </w:t>
      </w:r>
      <w:r w:rsidR="00E23110">
        <w:t>Damascus</w:t>
      </w:r>
      <w:r>
        <w:t xml:space="preserve"> (675-749 </w:t>
      </w:r>
      <w:proofErr w:type="gramStart"/>
      <w:r>
        <w:t>AD)  in</w:t>
      </w:r>
      <w:proofErr w:type="gramEnd"/>
      <w:r>
        <w:t xml:space="preserve"> his treatise </w:t>
      </w:r>
      <w:r>
        <w:rPr>
          <w:i/>
        </w:rPr>
        <w:t xml:space="preserve">On the Divine Images. </w:t>
      </w:r>
    </w:p>
    <w:p w14:paraId="0000002E" w14:textId="77777777" w:rsidR="00E66006" w:rsidRDefault="00E66006">
      <w:pPr>
        <w:spacing w:line="240" w:lineRule="auto"/>
        <w:rPr>
          <w:i/>
        </w:rPr>
      </w:pPr>
    </w:p>
  </w:footnote>
  <w:footnote w:id="11">
    <w:p w14:paraId="0000002F" w14:textId="77777777" w:rsidR="00E66006" w:rsidRDefault="00000000">
      <w:pPr>
        <w:spacing w:line="240" w:lineRule="auto"/>
      </w:pPr>
      <w:r>
        <w:rPr>
          <w:vertAlign w:val="superscript"/>
        </w:rPr>
        <w:footnoteRef/>
      </w:r>
      <w:r>
        <w:rPr>
          <w:sz w:val="20"/>
          <w:szCs w:val="20"/>
        </w:rPr>
        <w:t xml:space="preserve"> </w:t>
      </w:r>
      <w:r>
        <w:t xml:space="preserve">As windows to heaven, icons also remind those worshipping in the Church that the saints and angels are also present during the service. </w:t>
      </w:r>
    </w:p>
  </w:footnote>
  <w:footnote w:id="12">
    <w:p w14:paraId="00000023" w14:textId="77777777" w:rsidR="00E66006" w:rsidRDefault="00000000">
      <w:pPr>
        <w:spacing w:line="240" w:lineRule="auto"/>
        <w:rPr>
          <w:sz w:val="20"/>
          <w:szCs w:val="20"/>
        </w:rPr>
      </w:pPr>
      <w:r>
        <w:rPr>
          <w:vertAlign w:val="superscript"/>
        </w:rPr>
        <w:footnoteRef/>
      </w:r>
      <w:r>
        <w:rPr>
          <w:sz w:val="20"/>
          <w:szCs w:val="20"/>
        </w:rPr>
        <w:t xml:space="preserve"> </w:t>
      </w:r>
      <w:r>
        <w:t>The Theophany celebrates the revelation of all three members of the Trinity.  It is celebrated on January 6.  In the West, the Epiphany is celebrated on the same day. It commemorates the manifestation of Jesus as King and God.  The difference in observance is only one of emphasis.</w:t>
      </w:r>
      <w:r>
        <w:rPr>
          <w:sz w:val="20"/>
          <w:szCs w:val="20"/>
        </w:rPr>
        <w:t xml:space="preserve"> </w:t>
      </w:r>
    </w:p>
    <w:p w14:paraId="00000024" w14:textId="77777777" w:rsidR="00E66006" w:rsidRDefault="00E66006">
      <w:pPr>
        <w:spacing w:line="240" w:lineRule="auto"/>
        <w:rPr>
          <w:sz w:val="20"/>
          <w:szCs w:val="20"/>
        </w:rPr>
      </w:pPr>
    </w:p>
  </w:footnote>
  <w:footnote w:id="13">
    <w:p w14:paraId="00000022" w14:textId="77777777" w:rsidR="00E66006" w:rsidRDefault="00000000">
      <w:pPr>
        <w:spacing w:line="240" w:lineRule="auto"/>
      </w:pPr>
      <w:r>
        <w:rPr>
          <w:vertAlign w:val="superscript"/>
        </w:rPr>
        <w:footnoteRef/>
      </w:r>
      <w:r>
        <w:rPr>
          <w:sz w:val="20"/>
          <w:szCs w:val="20"/>
        </w:rPr>
        <w:t xml:space="preserve"> </w:t>
      </w:r>
      <w:r>
        <w:t xml:space="preserve">From the Prologue of the Gospel of John (John 1:14).  The Prologue is read on Easter Day in the Eastern Church in as many languages as possible, further connecting the Incarnation to the Resurrection and to the possibility of salvation for all.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A3B331" w14:textId="77777777" w:rsidR="00E23110" w:rsidRDefault="00E2311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219E37" w14:textId="77777777" w:rsidR="00E23110" w:rsidRDefault="00E2311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978C67" w14:textId="77777777" w:rsidR="00E23110" w:rsidRDefault="00E2311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6"/>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6006"/>
    <w:rsid w:val="00332943"/>
    <w:rsid w:val="00E23110"/>
    <w:rsid w:val="00E660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291EC8"/>
  <w15:docId w15:val="{CB0883E0-C8E1-C140-83F6-1735FA9F12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rPr>
  </w:style>
  <w:style w:type="paragraph" w:styleId="Heading5">
    <w:name w:val="heading 5"/>
    <w:basedOn w:val="Normal"/>
    <w:next w:val="Normal"/>
    <w:uiPriority w:val="9"/>
    <w:semiHidden/>
    <w:unhideWhenUsed/>
    <w:qFormat/>
    <w:pPr>
      <w:keepNext/>
      <w:keepLines/>
      <w:spacing w:before="240" w:after="80"/>
      <w:outlineLvl w:val="4"/>
    </w:pPr>
    <w:rPr>
      <w:color w:val="666666"/>
      <w:sz w:val="22"/>
      <w:szCs w:val="22"/>
    </w:rPr>
  </w:style>
  <w:style w:type="paragraph" w:styleId="Heading6">
    <w:name w:val="heading 6"/>
    <w:basedOn w:val="Normal"/>
    <w:next w:val="Normal"/>
    <w:uiPriority w:val="9"/>
    <w:semiHidden/>
    <w:unhideWhenUsed/>
    <w:qFormat/>
    <w:pPr>
      <w:keepNext/>
      <w:keepLines/>
      <w:spacing w:before="240" w:after="80"/>
      <w:outlineLvl w:val="5"/>
    </w:pPr>
    <w:rPr>
      <w:i/>
      <w:color w:val="666666"/>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paragraph" w:styleId="Header">
    <w:name w:val="header"/>
    <w:basedOn w:val="Normal"/>
    <w:link w:val="HeaderChar"/>
    <w:uiPriority w:val="99"/>
    <w:unhideWhenUsed/>
    <w:rsid w:val="00E23110"/>
    <w:pPr>
      <w:tabs>
        <w:tab w:val="center" w:pos="4680"/>
        <w:tab w:val="right" w:pos="9360"/>
      </w:tabs>
      <w:spacing w:line="240" w:lineRule="auto"/>
    </w:pPr>
  </w:style>
  <w:style w:type="character" w:customStyle="1" w:styleId="HeaderChar">
    <w:name w:val="Header Char"/>
    <w:basedOn w:val="DefaultParagraphFont"/>
    <w:link w:val="Header"/>
    <w:uiPriority w:val="99"/>
    <w:rsid w:val="00E23110"/>
  </w:style>
  <w:style w:type="paragraph" w:styleId="Footer">
    <w:name w:val="footer"/>
    <w:basedOn w:val="Normal"/>
    <w:link w:val="FooterChar"/>
    <w:uiPriority w:val="99"/>
    <w:unhideWhenUsed/>
    <w:rsid w:val="00E23110"/>
    <w:pPr>
      <w:tabs>
        <w:tab w:val="center" w:pos="4680"/>
        <w:tab w:val="right" w:pos="9360"/>
      </w:tabs>
      <w:spacing w:line="240" w:lineRule="auto"/>
    </w:pPr>
  </w:style>
  <w:style w:type="character" w:customStyle="1" w:styleId="FooterChar">
    <w:name w:val="Footer Char"/>
    <w:basedOn w:val="DefaultParagraphFont"/>
    <w:link w:val="Footer"/>
    <w:uiPriority w:val="99"/>
    <w:rsid w:val="00E231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6</Pages>
  <Words>1174</Words>
  <Characters>6071</Characters>
  <Application>Microsoft Office Word</Application>
  <DocSecurity>0</DocSecurity>
  <Lines>102</Lines>
  <Paragraphs>31</Paragraphs>
  <ScaleCrop>false</ScaleCrop>
  <Company/>
  <LinksUpToDate>false</LinksUpToDate>
  <CharactersWithSpaces>7214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Koscinski, Mark</cp:lastModifiedBy>
  <cp:revision>2</cp:revision>
  <dcterms:created xsi:type="dcterms:W3CDTF">2025-07-02T14:19:00Z</dcterms:created>
  <dcterms:modified xsi:type="dcterms:W3CDTF">2025-07-02T14:19:00Z</dcterms:modified>
</cp:coreProperties>
</file>